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Law Assignment</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ANALYSIS OF THE U.S LEGAL SYSTEM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development of the current American legal system is often based on common law, administrative regulations, treaties, statutory laws and also constitutional laws. At both the state and federal levels, it is clear that the derivation of the original common laws system was aimed advancing the nature of fairness and justice to the legal system. According to Frankfurter, (2018), the signing of the United States constitution marked the guidance of the courts by establishing the Supreme law of the land. It is clear that the United States legal system is composed of different systems that have been linked together in many complex ways to provide a hybrid system that is currently applied to its structure (Kourlis, 2016).</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From the history of the constitutional promulgation, it is clear that United States laws borrow from the common law legal tradition that has been the trend in the commonwealth countries. This is the main reason why the United States is always keen on using stare decisis, which is a legal principle of judicial precedent in deciding its cases. In addition, the United States also uses the principle of Equity as its main legal tradition such as injunctions to solve the common law cases. In terms of the criminal laws, the United States also regulates the social conduct by prohibiting, and also establishing laws that promote the moral, safety and healthy wealthy welfare for the people (Neef &amp; Nagel, 2017).</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United States established a court hierarchy that helps to define the degree in which decisions that are made by courts have an impact on the people. This is accomplished through the use of a three tiered structure in which there are trial courts and also the court of appeals. Once a case is began, it is taken to the district court, and its moves up to the Supreme Court.  Every court has an established jurisdiction in which it exercises its principles leading to achievement of justice. In addition, the United States also uses a system of decentralization of its courts and also federalism system that helps to define the structure under which the courts perform their own functions and also duties (Neef &amp; Nagel, 2017).</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Various sources of the law are also interrelated leading to improvement of the legal proceedings. The common law invokes uncertainty and confusion meaning that the court cases can be resolved in an amicable manner. Pure decisional cases laws are also helpful in solving thesen cases and also interpreting the inherent fairness that is done on those cases. Subsequent history is also used in the generation of the efficiency of these cases (Frankfurter, 2018).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ORACLE V GOOGLE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Google v. Oracle America is an existing legal case involving issues of copyright law and also computer coding. In particular, the center of the dispute involves part of Java programming language that is owned by Oracle and versions of Android operating system that are owned by Google. Upon initiation of the case, Google admitted the use of APIs within fair use but has currently transitioned into a copyright unburdened engine (Neef &amp; Nagel, 2017).</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Issues </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main research questions addressed under this case was whether the issue of copy right protection extended to the software interface, and whether Google’s use of the software interfaces constituted a fair use. Currently, there is no legal statute that demonstrates that a company can own a basic coding language.  The parties disputing this case involve Google and Oracles use of Java as their main coding language. Arguably, the case before the court provides an argument of whether the application of the Merger Doctrine can apply to the Java APIs due to the fact that APIs have been described as purely functional. On the other hand, Oracle argues that the Merger doctrine should not apply in this case (Hertzke &amp; Olson, 2018). </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Rules </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case the court holds that Java APIs can be copyrighted, the major question would be whether the inclusion of the Java codes constitutes the fair use. When the case was taken to the lower courts, it was agreed that there was an issue of copyright infringement that had been violated. Google did not agree with this case and upon subsequent applications and repeals, it has sought the supreme court for the definition of the limits of copyright infringement. It is clear that a fair use determination usually utilized a four factor test. The first is the nature of the work that has been copyrighted, the second is the purpose of the characters use, the third is the amount and substantiality of the portion used for the copyright and the last is the effect of the copyright to the potential market value (Henry, 2013).</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Application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case uses the fair use doctrine in which the US usually permits the copyrighted material without the need for acquisition of the copyright holder. In the case of Folsom v. Marsh, the doctrine defined the character and purpose of usage, the nature of the copyrighted work, the amount of substantiality and the impact to the potential market. Additionally, the conclusion of this case will help in drawing a fine line in copyright protection in which the case will have provided a definition of the type of usage that does not violate a copyright or even define a fair usage.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CONTRACT CASE ANALYSIS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case of </w:t>
      </w:r>
      <w:r>
        <w:rPr>
          <w:rFonts w:ascii="Times New Roman" w:hAnsi="Times New Roman" w:cs="Times New Roman" w:eastAsia="Times New Roman"/>
          <w:i/>
          <w:color w:val="auto"/>
          <w:spacing w:val="0"/>
          <w:position w:val="0"/>
          <w:sz w:val="24"/>
          <w:shd w:fill="auto" w:val="clear"/>
        </w:rPr>
        <w:t xml:space="preserve">Leonard v. Pepsico, Inc (1999</w:t>
      </w:r>
      <w:r>
        <w:rPr>
          <w:rFonts w:ascii="Times New Roman" w:hAnsi="Times New Roman" w:cs="Times New Roman" w:eastAsia="Times New Roman"/>
          <w:color w:val="auto"/>
          <w:spacing w:val="0"/>
          <w:position w:val="0"/>
          <w:sz w:val="24"/>
          <w:shd w:fill="auto" w:val="clear"/>
        </w:rPr>
        <w:t xml:space="preserve">) is a landmark cases whose ruling established that an advertisement cannot be considered as a legal offer in a court of law and a reasonable person is not expected to take it seriously.  The facts of the case began when a Pepsi advert showed that points could be earned by the purchase of its products and exchanging them for Pepsi merchandise. The issue was proved that Pepsi commercial did not constitute an offers but rather had established initiations that could be used for the negotiation purposes. One of the major conclusions that can be made out of this case is that a definitive and operative offer to sell or buy goods through an advertisement in a handbill, a catalogue or a newspaper is always made to establish the basis for negotiation. These negotiations can be made out of circumstances that are clear and exceptional and can be used for unilateral offer. Any commercial can always be regarded as sufficiently definite due to the fact that it can be reserved for details that are used in the writing process (</w:t>
      </w:r>
      <w:r>
        <w:rPr>
          <w:rFonts w:ascii="Times New Roman" w:hAnsi="Times New Roman" w:cs="Times New Roman" w:eastAsia="Times New Roman"/>
          <w:color w:val="auto"/>
          <w:spacing w:val="0"/>
          <w:position w:val="0"/>
          <w:sz w:val="24"/>
          <w:shd w:fill="FFFFFF" w:val="clear"/>
        </w:rPr>
        <w:t xml:space="preserve">Garrette, Phelps &amp; Sibony, 2018).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IMCLONE STOCK TRADING CASE</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litigation involving Macy’s J.C Penny settled the lawsuit after accusing J.C Penny Company of having interfered with improperly with exclusive merchandizing agreement with Martha Stewart. The case involved two contracts involving three well known corporates. The first contract was based on Macy’s, a merchandizing Group and also a former defendant Martha Stewart Living Omnimedia. The second contract involved defendant Penny Corporation (JCP) and MSLO. In this case, it is evident that the Macy’s complaint against JCP had alleged tortious interference of the contract leading to unfair competition. In the case, JCP demanded to have punitive damages that stemmed from the allegations of improper conduct by JCP and unethical behavior by JCP causing a breach of the available contractual agreements. Macy sought to have punitive damages against JCP (</w:t>
      </w:r>
      <w:r>
        <w:rPr>
          <w:rFonts w:ascii="Times New Roman" w:hAnsi="Times New Roman" w:cs="Times New Roman" w:eastAsia="Times New Roman"/>
          <w:color w:val="auto"/>
          <w:spacing w:val="0"/>
          <w:position w:val="0"/>
          <w:sz w:val="24"/>
          <w:shd w:fill="FFFFFF" w:val="clear"/>
        </w:rPr>
        <w:t xml:space="preserve">Brennan &amp; Schafer, 2020)</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trial court found that JCP had interfered with MSLO contract regarding the provision of agreements. JCP then appealed the case for determination. Upon appellate stages, it was found the JCP had violated the confidentiality rights leading to a major breach of contractual terms. The judge’s decision found that JC penny would not be allowed to claim the exclusive rights to sell any products. Macy’s won the case receiving damages for the breach of contract issue (</w:t>
      </w:r>
      <w:r>
        <w:rPr>
          <w:rFonts w:ascii="Times New Roman" w:hAnsi="Times New Roman" w:cs="Times New Roman" w:eastAsia="Times New Roman"/>
          <w:color w:val="auto"/>
          <w:spacing w:val="0"/>
          <w:position w:val="0"/>
          <w:sz w:val="24"/>
          <w:shd w:fill="FFFFFF" w:val="clear"/>
        </w:rPr>
        <w:t xml:space="preserve">Garrette, Phelps &amp; Sibony, 2018). </w:t>
      </w:r>
      <w:r>
        <w:rPr>
          <w:rFonts w:ascii="Times New Roman" w:hAnsi="Times New Roman" w:cs="Times New Roman" w:eastAsia="Times New Roman"/>
          <w:color w:val="auto"/>
          <w:spacing w:val="0"/>
          <w:position w:val="0"/>
          <w:sz w:val="24"/>
          <w:shd w:fill="auto" w:val="clear"/>
        </w:rPr>
        <w:t xml:space="preserve">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Frankfurter, F. (2018). The Commerce Clause Under Marshall, Taney, and Waite. UNC Press Books.</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Hertzke, A. D., &amp; Olson, L. (2018). Religion and politics in America: faith, culture, and strategic choices. Routledge.</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Kourlis, R. L. (2016). Ten ways to reform the civil justice system by changing the culture of the courts. American Bar Association Journal, 14.</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Neef, M., &amp; Nagel, S. (2017). The Adversary Nature of the American Legal System: A Historical Perspective 1. In Lawyers' Ethics (pp. 73-98). Routledge.</w:t>
      </w:r>
    </w:p>
    <w:p>
      <w:pPr>
        <w:spacing w:before="0" w:after="200" w:line="480"/>
        <w:ind w:right="0" w:left="720" w:hanging="72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Henry R. Cheeseman. (2013).</w:t>
      </w:r>
      <w:r>
        <w:rPr>
          <w:rFonts w:ascii="Times New Roman" w:hAnsi="Times New Roman" w:cs="Times New Roman" w:eastAsia="Times New Roman"/>
          <w:i/>
          <w:color w:val="auto"/>
          <w:spacing w:val="0"/>
          <w:position w:val="0"/>
          <w:sz w:val="24"/>
          <w:shd w:fill="auto" w:val="clear"/>
        </w:rPr>
        <w:t xml:space="preserve"> Corporate Governance and the Sarbanes-Oxley Act in Business. Regulations, requirements, and integrated processes. Pg. 628, and 629.</w:t>
      </w:r>
    </w:p>
    <w:p>
      <w:pPr>
        <w:spacing w:before="0" w:after="20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Jennings, M. (2018). </w:t>
      </w:r>
      <w:r>
        <w:rPr>
          <w:rFonts w:ascii="Times New Roman" w:hAnsi="Times New Roman" w:cs="Times New Roman" w:eastAsia="Times New Roman"/>
          <w:i/>
          <w:color w:val="auto"/>
          <w:spacing w:val="0"/>
          <w:position w:val="0"/>
          <w:sz w:val="24"/>
          <w:shd w:fill="FFFFFF" w:val="clear"/>
        </w:rPr>
        <w:t xml:space="preserve">Business: Its legal, ethical, and global environment</w:t>
      </w:r>
      <w:r>
        <w:rPr>
          <w:rFonts w:ascii="Times New Roman" w:hAnsi="Times New Roman" w:cs="Times New Roman" w:eastAsia="Times New Roman"/>
          <w:color w:val="auto"/>
          <w:spacing w:val="0"/>
          <w:position w:val="0"/>
          <w:sz w:val="24"/>
          <w:shd w:fill="FFFFFF" w:val="clear"/>
        </w:rPr>
        <w:t xml:space="preserve">. Australia : Cengage Learning</w:t>
      </w:r>
    </w:p>
    <w:p>
      <w:pPr>
        <w:spacing w:before="0" w:after="20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Garrette, B., Phelps, C., &amp; Sibony, O. (2018). </w:t>
      </w:r>
      <w:r>
        <w:rPr>
          <w:rFonts w:ascii="Times New Roman" w:hAnsi="Times New Roman" w:cs="Times New Roman" w:eastAsia="Times New Roman"/>
          <w:i/>
          <w:color w:val="auto"/>
          <w:spacing w:val="0"/>
          <w:position w:val="0"/>
          <w:sz w:val="24"/>
          <w:shd w:fill="FFFFFF" w:val="clear"/>
        </w:rPr>
        <w:t xml:space="preserve">Cracked it!: How to solve big problems and sell solutions like top strategy consultants</w:t>
      </w:r>
      <w:r>
        <w:rPr>
          <w:rFonts w:ascii="Times New Roman" w:hAnsi="Times New Roman" w:cs="Times New Roman" w:eastAsia="Times New Roman"/>
          <w:color w:val="auto"/>
          <w:spacing w:val="0"/>
          <w:position w:val="0"/>
          <w:sz w:val="24"/>
          <w:shd w:fill="FFFFFF" w:val="clear"/>
        </w:rPr>
        <w:t xml:space="preserve">.</w:t>
      </w:r>
    </w:p>
    <w:p>
      <w:pPr>
        <w:spacing w:before="0" w:after="200" w:line="480"/>
        <w:ind w:right="0" w:left="720" w:hanging="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FFFFFF" w:val="clear"/>
        </w:rPr>
        <w:t xml:space="preserve">Brennan, B., &amp; Schafer, L. (2020). </w:t>
      </w:r>
      <w:r>
        <w:rPr>
          <w:rFonts w:ascii="Times New Roman" w:hAnsi="Times New Roman" w:cs="Times New Roman" w:eastAsia="Times New Roman"/>
          <w:i/>
          <w:color w:val="auto"/>
          <w:spacing w:val="0"/>
          <w:position w:val="0"/>
          <w:sz w:val="24"/>
          <w:shd w:fill="FFFFFF" w:val="clear"/>
        </w:rPr>
        <w:t xml:space="preserve">Branded!: How retailers engage consumers with social media and mobility</w:t>
      </w:r>
      <w:r>
        <w:rPr>
          <w:rFonts w:ascii="Times New Roman" w:hAnsi="Times New Roman" w:cs="Times New Roman" w:eastAsia="Times New Roman"/>
          <w:color w:val="auto"/>
          <w:spacing w:val="0"/>
          <w:position w:val="0"/>
          <w:sz w:val="24"/>
          <w:shd w:fill="FFFFFF" w:val="clear"/>
        </w:rPr>
        <w:t xml:space="preserve">. Hoboken, N.J: Wiley.</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